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  <w:sz w:val="18"/>
          <w:szCs w:val="18"/>
        </w:rPr>
      </w:pPr>
      <w:r w:rsidRPr="00BA68D8">
        <w:rPr>
          <w:rFonts w:ascii="Garamond" w:hAnsi="Garamond"/>
          <w:color w:val="002060"/>
          <w:sz w:val="18"/>
          <w:szCs w:val="18"/>
        </w:rPr>
        <w:t xml:space="preserve">Załącznik nr </w:t>
      </w:r>
      <w:r w:rsidR="00516DDB" w:rsidRPr="00BA68D8">
        <w:rPr>
          <w:rFonts w:ascii="Garamond" w:hAnsi="Garamond"/>
          <w:color w:val="002060"/>
          <w:sz w:val="18"/>
          <w:szCs w:val="18"/>
        </w:rPr>
        <w:t>2</w:t>
      </w:r>
      <w:r w:rsidRPr="00BA68D8">
        <w:rPr>
          <w:rFonts w:ascii="Garamond" w:hAnsi="Garamond"/>
          <w:color w:val="002060"/>
          <w:sz w:val="18"/>
          <w:szCs w:val="18"/>
        </w:rPr>
        <w:t xml:space="preserve">  do Zarządzenia Dziekana Wydziału Nauk Historycznych  z dnia</w:t>
      </w:r>
      <w:r w:rsidR="00BA68D8" w:rsidRPr="00BA68D8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BA68D8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</w:t>
      </w:r>
      <w:r w:rsidR="00C96C10" w:rsidRPr="00BA68D8">
        <w:rPr>
          <w:rFonts w:ascii="Garamond" w:hAnsi="Garamond"/>
          <w:color w:val="002060"/>
          <w:sz w:val="18"/>
          <w:szCs w:val="18"/>
        </w:rPr>
        <w:t>.</w:t>
      </w:r>
    </w:p>
    <w:p w:rsidR="00C82A3D" w:rsidRDefault="00C82A3D" w:rsidP="00C82A3D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</w:p>
    <w:p w:rsidR="0068743D" w:rsidRPr="00BA68D8" w:rsidRDefault="0068743D" w:rsidP="00C82A3D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BA68D8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C82A3D" w:rsidRDefault="00C82A3D" w:rsidP="00C82A3D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BA68D8">
        <w:rPr>
          <w:rFonts w:ascii="Garamond" w:hAnsi="Garamond"/>
          <w:b/>
          <w:color w:val="002060"/>
          <w:sz w:val="24"/>
          <w:szCs w:val="24"/>
        </w:rPr>
        <w:t>kierunek</w:t>
      </w:r>
      <w:r w:rsidRPr="00BA68D8">
        <w:rPr>
          <w:rFonts w:ascii="Garamond" w:hAnsi="Garamond"/>
          <w:bCs/>
          <w:color w:val="002060"/>
          <w:sz w:val="24"/>
          <w:szCs w:val="24"/>
        </w:rPr>
        <w:t xml:space="preserve">: </w:t>
      </w:r>
      <w:r w:rsidRPr="00BA68D8">
        <w:rPr>
          <w:rFonts w:ascii="Garamond" w:hAnsi="Garamond"/>
          <w:bCs/>
          <w:iCs/>
          <w:color w:val="002060"/>
          <w:sz w:val="24"/>
          <w:szCs w:val="24"/>
        </w:rPr>
        <w:t>Archiwistyka i zarządzanie dokumentacją</w:t>
      </w:r>
      <w:r w:rsidRPr="00BA68D8">
        <w:rPr>
          <w:rFonts w:ascii="Garamond" w:hAnsi="Garamond"/>
          <w:bCs/>
          <w:color w:val="002060"/>
          <w:sz w:val="24"/>
          <w:szCs w:val="24"/>
        </w:rPr>
        <w:t xml:space="preserve">, studia II stopnia </w:t>
      </w:r>
    </w:p>
    <w:p w:rsidR="00C82A3D" w:rsidRDefault="00C82A3D" w:rsidP="00C82A3D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A68D8">
        <w:rPr>
          <w:rFonts w:ascii="Garamond" w:hAnsi="Garamond"/>
          <w:bCs/>
          <w:color w:val="002060"/>
        </w:rPr>
        <w:t>Od studentów Wydział Nauk Historycznych odbywających praktykę  oczekuje się zaangażowania w wykonywani</w:t>
      </w:r>
      <w:r w:rsidR="00716E36" w:rsidRPr="00BA68D8">
        <w:rPr>
          <w:rFonts w:ascii="Garamond" w:hAnsi="Garamond"/>
          <w:bCs/>
          <w:color w:val="002060"/>
        </w:rPr>
        <w:t>u</w:t>
      </w:r>
      <w:r w:rsidRPr="00BA68D8">
        <w:rPr>
          <w:rFonts w:ascii="Garamond" w:hAnsi="Garamond"/>
          <w:bCs/>
          <w:color w:val="002060"/>
        </w:rPr>
        <w:t xml:space="preserve"> powierzonych zadań przez osoby nadzorujące  przebieg praktyki oraz wysokiej kultury osobistej. </w:t>
      </w:r>
    </w:p>
    <w:p w:rsidR="00C82A3D" w:rsidRDefault="00C82A3D" w:rsidP="00C82A3D">
      <w:pPr>
        <w:spacing w:after="0" w:line="240" w:lineRule="auto"/>
        <w:rPr>
          <w:rFonts w:ascii="Garamond" w:hAnsi="Garamond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/>
          <w:color w:val="002060"/>
        </w:rPr>
        <w:t xml:space="preserve">1. </w:t>
      </w:r>
      <w:r w:rsidRPr="00BA68D8">
        <w:rPr>
          <w:rFonts w:ascii="Garamond" w:hAnsi="Garamond" w:cs="Times New Roman"/>
          <w:color w:val="002060"/>
        </w:rPr>
        <w:t>Wymiar: tygodniowy  - 4 tygodnie; godzinowy: 160 godzin.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>2. Termin realizacji praktyk:  II - I</w:t>
      </w:r>
      <w:r w:rsidR="00BC6DC4" w:rsidRPr="00BA68D8">
        <w:rPr>
          <w:rFonts w:ascii="Garamond" w:hAnsi="Garamond" w:cs="Times New Roman"/>
          <w:color w:val="002060"/>
        </w:rPr>
        <w:t>II</w:t>
      </w:r>
      <w:r w:rsidRPr="00BA68D8">
        <w:rPr>
          <w:rFonts w:ascii="Garamond" w:hAnsi="Garamond" w:cs="Times New Roman"/>
          <w:color w:val="002060"/>
        </w:rPr>
        <w:t xml:space="preserve"> semestr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>3. Liczba punktów ECTS:  5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 xml:space="preserve">4. Cel praktyk </w:t>
      </w:r>
    </w:p>
    <w:p w:rsidR="0068743D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/>
          <w:color w:val="002060"/>
        </w:rPr>
        <w:t>Celem praktyki na kierunku Archiwistyka i zarządzanie dokumentacją jest zapoznanie studenta  z zasadami zarządzania dokumentacją w kancelarii i archiwum bieżącym oraz zasadami pracy, organizacją, zadaniami i funkcjonowaniem archiwów wieczystych</w:t>
      </w:r>
    </w:p>
    <w:p w:rsidR="00C82A3D" w:rsidRDefault="00C82A3D" w:rsidP="00C82A3D">
      <w:pPr>
        <w:spacing w:after="0" w:line="240" w:lineRule="auto"/>
        <w:rPr>
          <w:rFonts w:ascii="Garamond" w:hAnsi="Garamond" w:cs="Times New Roman"/>
          <w:color w:val="002060"/>
        </w:rPr>
      </w:pPr>
    </w:p>
    <w:p w:rsidR="00BC6DC4" w:rsidRPr="00BA68D8" w:rsidRDefault="0068743D" w:rsidP="00C82A3D">
      <w:pPr>
        <w:spacing w:after="0" w:line="240" w:lineRule="auto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>5. Szczegółowe cele praktyki</w:t>
      </w:r>
    </w:p>
    <w:p w:rsidR="0068743D" w:rsidRPr="00BA68D8" w:rsidRDefault="00BC6DC4" w:rsidP="00C82A3D">
      <w:pPr>
        <w:spacing w:after="0" w:line="240" w:lineRule="auto"/>
        <w:jc w:val="both"/>
        <w:rPr>
          <w:rFonts w:ascii="Garamond" w:hAnsi="Garamond" w:cs="Times New Roman"/>
          <w:color w:val="002060"/>
        </w:rPr>
      </w:pPr>
      <w:r w:rsidRPr="00BA68D8">
        <w:rPr>
          <w:rFonts w:ascii="Garamond" w:hAnsi="Garamond" w:cs="Times New Roman"/>
          <w:color w:val="002060"/>
        </w:rPr>
        <w:t xml:space="preserve">Studenci specjalności naukowo-archiwalnej - poznanie organizacji i funkcjonowania archiwum historycznego; studenci specjalności zarządzanie dokumentacją - poznanie organizacji i funkcjonowania wybranej jednostki organizacyjnej, jej archiwum zakładowego lub składnicy akt. </w:t>
      </w:r>
    </w:p>
    <w:p w:rsidR="00C82A3D" w:rsidRDefault="00C82A3D" w:rsidP="00C82A3D">
      <w:pPr>
        <w:spacing w:after="0" w:line="240" w:lineRule="auto"/>
        <w:rPr>
          <w:rFonts w:ascii="Garamond" w:hAnsi="Garamond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 xml:space="preserve">6. </w:t>
      </w:r>
      <w:r w:rsidRPr="00BA68D8">
        <w:rPr>
          <w:rFonts w:ascii="Garamond" w:hAnsi="Garamond"/>
          <w:b/>
          <w:color w:val="002060"/>
        </w:rPr>
        <w:t>Ramowy program praktyki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historia instytucji;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 xml:space="preserve">zadania </w:t>
      </w:r>
    </w:p>
    <w:p w:rsidR="00BB3E74" w:rsidRPr="00BA68D8" w:rsidRDefault="00BB3E74" w:rsidP="00C82A3D">
      <w:pPr>
        <w:spacing w:after="0" w:line="240" w:lineRule="auto"/>
        <w:ind w:left="360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W przypadku archiwum historycznego: a) warunki przechowywania, zabezpieczania i konserwacji archiwaliów; b) zasady i metody porządkowania i opisu archiwaliów; opracowanie (możliwie z wykorzystaniem techniki komputerowej) niewielkiego zespołu archiwalnego wraz z przygotowaniem wstępu do inwentarza lub notatki informacyjnej; c) archiwalny system ewidencyjno-informacyjny; d) organizacja udostępniania zasobu, pomoc w wykonywaniu kwerend, udział w inicjatywach związanych z popularyzacją zasobu - wystawy, pokazy; przygotowanie edycji źródłowej (fakultatywnie do opracowania zespołu archiwalnego); e) zasady działalności archiwów na tzw. przedpolu archiwalnym, w tym kontrola archiwum zakładowego i przygotowanie protokołu pokontrolnego, ekspertyza dokumentacji typowanej do brakowania; udział w przejęciu dokumentacji do archiwum; f) zakres prac komisji i ciał doradczych istniejących przy archiwum.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struktura organizacyjna i organizacja pracy, w tym zapoznanie z podstawami prawnymi funkcjonowania, statutem i regulaminem organizacyjnym;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zakres i metody pracy poszczególnych działów;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zasady pracy biurowej i obieg dokumentacji; analiza instrukcji kancelaryjnej i wykazu rzeczowego, rejestry kancelaryjne (możliwie z jak najszerszym wykorzystaniem techniki komputerowej);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postępowanie z dokumentacją w komórkach merytorycznych i archiwum zakładowym; udział w przygotowaniu spisów materiałów archiwalnych przekazywanych do archiwum, w tym przygotowanie notatki na temat twórcy zespołu; przygotowanie spisów zdawczo-odbiorczych dokumentacji Kat. B oraz spisów materiałów przeznaczonych do brakowania;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organizacja, zakres działania i czynności archiwum zakładowego lub składnicy akt; w tym zapoznanie ze sposobem udostępniania akt, wykazem spisów zdawczo-odbiorczych, spisami akt wybrakowanych, stosowanymi rozwiązaniami informatycznymi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t>w trakcie praktyki studentowi przysługuje 1 dzień w tygodniu na prace własne związane z przygotowywaniem pracy magisterskiej;</w:t>
      </w:r>
    </w:p>
    <w:p w:rsidR="00BB3E74" w:rsidRPr="00BA68D8" w:rsidRDefault="00BB3E74" w:rsidP="00C82A3D">
      <w:pPr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Times New Roman"/>
          <w:color w:val="002060"/>
        </w:rPr>
      </w:pPr>
      <w:r w:rsidRPr="00BA68D8">
        <w:rPr>
          <w:rFonts w:ascii="Garamond" w:eastAsia="Calibri" w:hAnsi="Garamond" w:cs="Times New Roman"/>
          <w:color w:val="002060"/>
        </w:rPr>
        <w:lastRenderedPageBreak/>
        <w:t>czynności wykraczające poza program praktyki nie powinny przekraczać 15% wymiaru godzinowego praktyki.</w:t>
      </w:r>
    </w:p>
    <w:p w:rsidR="00BA68D8" w:rsidRDefault="00BA68D8" w:rsidP="00C82A3D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b/>
          <w:color w:val="002060"/>
        </w:rPr>
        <w:t xml:space="preserve">7. Sposób dokumentacji praktyki : </w:t>
      </w:r>
      <w:r w:rsidRPr="00BA68D8">
        <w:rPr>
          <w:rFonts w:ascii="Garamond" w:hAnsi="Garamond"/>
          <w:color w:val="002060"/>
        </w:rPr>
        <w:t xml:space="preserve">zapisy praktykanta w dzienniku praktyk rejestrujące codzienne zajęcia uwierzytelnione pieczęcią instytucji   i podpisem </w:t>
      </w:r>
      <w:bookmarkStart w:id="0" w:name="_Hlk27067285"/>
      <w:r w:rsidRPr="00BA68D8">
        <w:rPr>
          <w:rFonts w:ascii="Garamond" w:hAnsi="Garamond"/>
          <w:color w:val="002060"/>
        </w:rPr>
        <w:t>kierownika jednostki lub opiekuna merytorycznego.</w:t>
      </w:r>
    </w:p>
    <w:p w:rsidR="00C82A3D" w:rsidRDefault="00C82A3D" w:rsidP="00C82A3D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t>8. Warunki zaliczenia praktyki:</w:t>
      </w: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W przypadku odbycia praktyki:</w:t>
      </w:r>
    </w:p>
    <w:p w:rsidR="0068743D" w:rsidRPr="00BA68D8" w:rsidRDefault="0068743D" w:rsidP="00C82A3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</w:rPr>
        <w:t xml:space="preserve">prawidłowo wypełniony i uwierzytelnione dziennik praktyk,  </w:t>
      </w:r>
    </w:p>
    <w:bookmarkEnd w:id="0"/>
    <w:p w:rsidR="0068743D" w:rsidRPr="00BA68D8" w:rsidRDefault="0068743D" w:rsidP="00C82A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color w:val="002060"/>
        </w:rPr>
        <w:t>pozytywna opinia kierownika jednostki lub opiekuna merytorycznego na temat praktykanta i przebiegu praktyki ,</w:t>
      </w:r>
    </w:p>
    <w:p w:rsidR="0068743D" w:rsidRPr="00BA68D8" w:rsidRDefault="0068743D" w:rsidP="00C82A3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color w:val="002060"/>
        </w:rPr>
        <w:t xml:space="preserve">uwierzytelniona karta z przebiegu praktyki potwierdzająca zrealizowane efekty uczenia się.  </w:t>
      </w:r>
    </w:p>
    <w:p w:rsidR="0068743D" w:rsidRPr="00BA68D8" w:rsidRDefault="0068743D" w:rsidP="00C82A3D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68743D" w:rsidRPr="00BA68D8" w:rsidRDefault="0068743D" w:rsidP="00C82A3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zgoda dziekana na zaliczenie praktyki, po wcześniejszym zaopiniowaniu przez opiekuna praktyk, w trybie określonym</w:t>
      </w:r>
      <w:r w:rsidR="0045696B">
        <w:rPr>
          <w:rFonts w:ascii="Garamond" w:hAnsi="Garamond"/>
          <w:color w:val="002060"/>
        </w:rPr>
        <w:t xml:space="preserve"> w Zarządzeniu Dziekana z dnia 13 stycznia 2020r.</w:t>
      </w:r>
      <w:r w:rsidRPr="00BA68D8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b/>
          <w:color w:val="002060"/>
        </w:rPr>
      </w:pPr>
      <w:r w:rsidRPr="00BA68D8">
        <w:rPr>
          <w:b/>
          <w:color w:val="002060"/>
        </w:rPr>
        <w:t xml:space="preserve">9. </w:t>
      </w:r>
      <w:r w:rsidRPr="00BA68D8">
        <w:rPr>
          <w:rFonts w:ascii="Garamond" w:hAnsi="Garamond"/>
          <w:b/>
          <w:color w:val="002060"/>
        </w:rPr>
        <w:t>Efekty uczenia się, które student</w:t>
      </w:r>
      <w:r w:rsidR="00B043C9" w:rsidRPr="00BA68D8">
        <w:rPr>
          <w:rFonts w:ascii="Garamond" w:hAnsi="Garamond"/>
          <w:b/>
          <w:color w:val="002060"/>
        </w:rPr>
        <w:t xml:space="preserve"> realizuje </w:t>
      </w:r>
      <w:r w:rsidRPr="00BA68D8">
        <w:rPr>
          <w:rFonts w:ascii="Garamond" w:hAnsi="Garamond"/>
          <w:b/>
          <w:color w:val="002060"/>
        </w:rPr>
        <w:t>podczas praktyki</w:t>
      </w:r>
      <w:r w:rsidR="00EA5DEB" w:rsidRPr="00BA68D8">
        <w:rPr>
          <w:rFonts w:ascii="Garamond" w:hAnsi="Garamond"/>
          <w:b/>
          <w:color w:val="002060"/>
        </w:rPr>
        <w:t>.</w:t>
      </w:r>
    </w:p>
    <w:p w:rsidR="0068743D" w:rsidRPr="00BA68D8" w:rsidRDefault="0068743D" w:rsidP="00C82A3D">
      <w:pPr>
        <w:spacing w:after="0" w:line="240" w:lineRule="auto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Wiedza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K_W18 ma pogłębioną wiedzę o archiwach i instytucjach kultury w Polsce i na świecie, zna ich specyfikę i różnice w zarządzaniu nimi.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K_W19 zna otoczenie zewnętrzne archiwów i innych instytucji dokumentacyjnych, orientuje się w życiu kulturalnym i naukowym swojego kraju, zna możliwości  i formy udziału tych instytucji w planowanych lub realizowanych projektach.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K_W21 ma pogłębioną wiedzę na temat ustroju państwa, obowiązującym w nim systemie prawnym oraz zasadach działania instytucji publicznych.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K_W22 ma pogłębioną wiedzę o normach prawnych regulujących działalność archiwów i postępowanie z dokumentacją w instytucjach.</w:t>
      </w: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Umiejętności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K_U10 potrafi porozumiewać się z wykorzystaniem różnych kanałów i technik komunikacyjnych, ze specjalistami w zakresie archiwistyki i zarządzania dokumentacją, nauk o zarządzaniu i nauk historycznych oraz niespecjalistami w języku polskim i języku obcym, a także popularyzować wiedzę o narodowym zasobie archiwalnym oraz instytucjach go wytwarzających i przechowujących.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K_U13 potrafi wykorzystywać źródła przepisów prawnych obowiązujących obecnie, jak i w przeszłości.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K_U14 umie interpretować i stosować polskie i międzynarodowe akty prawne będące podstawą działalności archiwów.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K_U15  posiada umiejętność wykorzystania zdobytej wiedzy w różnych zakresach i formach, rozszerzoną o krytyczną analizę jej skuteczności i przydatności w pracy zawodowej.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 xml:space="preserve">K_U17 potrafi współdziałać i pracować w grupie ze świadomością ról przypisanych poszczególnym jej członkom. </w:t>
      </w:r>
    </w:p>
    <w:p w:rsidR="00716E36" w:rsidRPr="00BA68D8" w:rsidRDefault="00716E36" w:rsidP="00C82A3D">
      <w:pPr>
        <w:pStyle w:val="Bezodstpw"/>
        <w:rPr>
          <w:rFonts w:ascii="Garamond" w:hAnsi="Garamond"/>
          <w:color w:val="002060"/>
        </w:rPr>
      </w:pPr>
    </w:p>
    <w:p w:rsidR="00716E36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  <w:u w:val="single"/>
        </w:rPr>
        <w:t>Kompetencje społeczn</w:t>
      </w:r>
      <w:r w:rsidR="00716E36" w:rsidRPr="00BA68D8">
        <w:rPr>
          <w:rFonts w:ascii="Garamond" w:hAnsi="Garamond"/>
          <w:color w:val="002060"/>
          <w:u w:val="single"/>
        </w:rPr>
        <w:t>e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  <w:u w:val="single"/>
        </w:rPr>
      </w:pPr>
      <w:r w:rsidRPr="00BA68D8">
        <w:rPr>
          <w:rFonts w:ascii="Garamond" w:hAnsi="Garamond"/>
          <w:color w:val="002060"/>
        </w:rPr>
        <w:t>K_K01 potrafi odpowiednio określić priorytety służące realizacji określonego przez siebie lub innych zadania; umie wybrać najefektywniejsze metody i środki na potrzeby realizacji konkretnego zadania uwzględniając zewnętrzne uwarunkowania; potrafi myśleć  i działać w sposób przedsiębiorczy.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K_K02 prawidłowo identyfikuje i rozstrzyga dylematy związane z wykonywaniem zawodu; postępuje w sposób zgodny z powszechnie obowiązującymi normami życia społecznego.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K_K03 akceptuje zasady etyczne pożądane w zawodzie archiwisty i zarządcy dokumentacją.</w:t>
      </w:r>
    </w:p>
    <w:p w:rsidR="00716E36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K_K04 aktywnie uczestniczy w działaniach na rzecz zachowania dziedzictwa kulturowego regionu, kraju, Europy i świata poprzez udzielanie w obszarze życia zawodowego pomocy osobom i instytucjom życia publicznego oraz inspirowanie i organizowanie wszelkich przedsięwzięć w tym zakresie.</w:t>
      </w:r>
    </w:p>
    <w:p w:rsidR="0068743D" w:rsidRPr="00BA68D8" w:rsidRDefault="00716E36" w:rsidP="00C82A3D">
      <w:pPr>
        <w:pStyle w:val="Bezodstpw"/>
        <w:jc w:val="both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lastRenderedPageBreak/>
        <w:t>K_K05 aktywnie uczestniczy i interesuje się aktualnymi wydarzeniami i nowatorskimi rozwiązaniami w sferze życia zawodowego, a szczególnie interesuje się aktualnymi wydarzeniami z życia archiwów, bibliotek, muzeów i innych instytucji kulturalnych.</w:t>
      </w: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Akceptuję Zasady odbywania praktyk</w:t>
      </w: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  <w:r w:rsidRPr="00BA68D8">
        <w:rPr>
          <w:rFonts w:ascii="Garamond" w:hAnsi="Garamond"/>
          <w:color w:val="002060"/>
        </w:rPr>
        <w:t>……………………………………..                                              …………………………………..</w:t>
      </w: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BA68D8">
        <w:rPr>
          <w:rFonts w:ascii="Garamond" w:hAnsi="Garamond"/>
          <w:color w:val="002060"/>
          <w:sz w:val="20"/>
          <w:szCs w:val="20"/>
        </w:rPr>
        <w:t xml:space="preserve">   Podpis kierownika jednostki                                                                                Podpis opiekuna praktyk </w:t>
      </w: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</w:rPr>
      </w:pPr>
    </w:p>
    <w:p w:rsidR="0068743D" w:rsidRPr="00BA68D8" w:rsidRDefault="0068743D" w:rsidP="00C82A3D">
      <w:pPr>
        <w:pStyle w:val="Bezodstpw"/>
        <w:rPr>
          <w:rFonts w:ascii="Garamond" w:hAnsi="Garamond"/>
          <w:color w:val="002060"/>
          <w:u w:val="single"/>
        </w:rPr>
      </w:pPr>
    </w:p>
    <w:p w:rsidR="0068743D" w:rsidRPr="00BA68D8" w:rsidRDefault="0068743D" w:rsidP="00C82A3D">
      <w:pPr>
        <w:pStyle w:val="Bezodstpw"/>
        <w:jc w:val="both"/>
        <w:rPr>
          <w:rFonts w:ascii="Garamond" w:hAnsi="Garamond"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rFonts w:ascii="Garamond" w:hAnsi="Garamond"/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Default="006874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Default="00C82A3D" w:rsidP="00C82A3D">
      <w:pPr>
        <w:spacing w:after="0" w:line="240" w:lineRule="auto"/>
        <w:rPr>
          <w:b/>
          <w:color w:val="002060"/>
        </w:rPr>
      </w:pPr>
    </w:p>
    <w:p w:rsidR="00C82A3D" w:rsidRPr="00BA68D8" w:rsidRDefault="00C82A3D" w:rsidP="00C82A3D">
      <w:pPr>
        <w:spacing w:after="0" w:line="240" w:lineRule="auto"/>
        <w:rPr>
          <w:b/>
          <w:color w:val="002060"/>
        </w:rPr>
      </w:pPr>
      <w:bookmarkStart w:id="1" w:name="_GoBack"/>
      <w:bookmarkEnd w:id="1"/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68743D" w:rsidRPr="00BA68D8" w:rsidRDefault="0068743D" w:rsidP="00C82A3D">
      <w:pPr>
        <w:spacing w:after="0" w:line="240" w:lineRule="auto"/>
        <w:rPr>
          <w:b/>
          <w:color w:val="002060"/>
        </w:rPr>
      </w:pPr>
    </w:p>
    <w:p w:rsidR="001760F6" w:rsidRPr="00BA68D8" w:rsidRDefault="001760F6" w:rsidP="00C82A3D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lastRenderedPageBreak/>
        <w:t>Karta przebiegu praktyki</w:t>
      </w:r>
    </w:p>
    <w:p w:rsidR="001760F6" w:rsidRPr="00BA68D8" w:rsidRDefault="001760F6" w:rsidP="00C82A3D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t>Wydział Nauk Historycznych</w:t>
      </w:r>
    </w:p>
    <w:p w:rsidR="001760F6" w:rsidRPr="00BA68D8" w:rsidRDefault="001760F6" w:rsidP="00C82A3D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A68D8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804"/>
      </w:tblGrid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Archiwistyka i zarządzanie dokumentacją, studia II stopnia </w:t>
            </w:r>
          </w:p>
        </w:tc>
      </w:tr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A68D8" w:rsidRPr="00BA68D8" w:rsidTr="00D511FE">
        <w:trPr>
          <w:trHeight w:val="501"/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 xml:space="preserve"> (Nazwa instytucji)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A68D8" w:rsidRPr="00BA68D8" w:rsidTr="00BC1E06">
        <w:trPr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1760F6" w:rsidRPr="00BA68D8" w:rsidTr="00D511FE">
        <w:trPr>
          <w:trHeight w:val="290"/>
          <w:jc w:val="center"/>
        </w:trPr>
        <w:tc>
          <w:tcPr>
            <w:tcW w:w="3652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1760F6" w:rsidRPr="00BA68D8" w:rsidRDefault="001760F6" w:rsidP="00C82A3D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1760F6" w:rsidRPr="00BA68D8" w:rsidRDefault="001760F6" w:rsidP="00C82A3D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ayout w:type="fixed"/>
        <w:tblLook w:val="04A0"/>
      </w:tblPr>
      <w:tblGrid>
        <w:gridCol w:w="10206"/>
      </w:tblGrid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center"/>
              <w:rPr>
                <w:rFonts w:ascii="Garamond" w:hAnsi="Garamond"/>
                <w:b/>
                <w:color w:val="002060"/>
              </w:rPr>
            </w:pPr>
            <w:r w:rsidRPr="00BA68D8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Wiedza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K_W18 ma pogłębioną wiedzę o archiwach i instytucjach kultury w Polsce i na świecie, zna ich specyfikę i różnice w zarządzaniu nimi.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K_W19 zna otoczenie zewnętrzne archiwów i innych instytucji dokumentacyjnych, orientuje się w życiu kulturalnym i naukowym swojego kraju, zna możliwości  i formy udziału tych instytucji w planowanych lub realizowanych projektach.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K_W21 ma pogłębioną wiedzę na temat ustroju państwa, obowiązującym w nim systemie prawnym oraz zasadach działania instytucji publicznych.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K_W22 ma pogłębioną wiedzę o normach prawnych regulujących działalność archiwów i postępowanie z dokumentacją w instytucjach.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Umiejętności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K_U10 potrafi porozumiewać się z wykorzystaniem różnych kanałów i technik komunikacyjnych, ze specjalistami w zakresie archiwistyki i zarządzania dokumentacją, nauk o zarządzaniu i nauk historycznych oraz niespecjalistami w języku polskim i języku obcym, a także popularyzować wiedzę o narodowym zasobie archiwalnym oraz instytucjach go wytwarzających i przechowujących.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K_U13 potrafi wykorzystywać źródła przepisów prawnych obowiązujących obecnie, jak i w przeszłości.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K_U14 umie interpretować i stosować polskie i międzynarodowe akty prawne będące podstawą działalności archiwów.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K_U15  posiada umiejętność wykorzystania zdobytej wiedzy w różnych zakresach i formach, rozszerzoną o krytyczną analizę jej skuteczności i przydatności w pracy zawodowej.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 xml:space="preserve">K_U17 potrafi współdziałać i pracować w grupie ze świadomością ról przypisanych poszczególnym jej członkom. 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BA68D8" w:rsidRPr="00BA68D8" w:rsidTr="00B04D6F">
        <w:tc>
          <w:tcPr>
            <w:tcW w:w="10206" w:type="dxa"/>
          </w:tcPr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Kompetencje społeczne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K_K01 potrafi odpowiednio określić priorytety służące realizacji określonego przez siebie lub innych zadania; umie wybrać najefektywniejsze metody i środki na potrzeby realizacji konkretnego zadania uwzględniając zewnętrzne uwarunkowania; potrafi myśleć  i działać w sposób przedsiębiorczy.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K_K02 prawidłowo identyfikuje i rozstrzyga dylematy związane z wykonywaniem zawodu; postępuje w sposób zgodny z powszechnie obowiązującymi normami życia społecznego.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K_K03 akceptuje zasady etyczne pożądane w zawodzie archiwisty i zarządcy dokumentacją.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K_K04 aktywnie uczestniczy w działaniach na rzecz zachowania dziedzictwa kulturowego regionu, kraju, Europy i świata poprzez udzielanie w obszarze życia zawodowego pomocy osobom i instytucjom życia publicznego oraz inspirowanie i organizowanie wszelkich przedsięwzięć w tym zakresie.</w:t>
            </w:r>
          </w:p>
          <w:p w:rsidR="00B04D6F" w:rsidRPr="00BA68D8" w:rsidRDefault="00B04D6F" w:rsidP="00C82A3D">
            <w:pPr>
              <w:spacing w:line="240" w:lineRule="auto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BA68D8">
              <w:rPr>
                <w:rFonts w:ascii="Garamond" w:hAnsi="Garamond"/>
                <w:color w:val="002060"/>
                <w:sz w:val="20"/>
                <w:szCs w:val="20"/>
              </w:rPr>
              <w:t>K_K05 aktywnie uczestniczy i interesuje się aktualnymi wydarzeniami i nowatorskimi rozwiązaniami w sferze życia zawodowego, a szczególnie interesuje się aktualnymi wydarzeniami z życia archiwów, bibliotek, muzeów i innych instytucji kulturalnych.</w:t>
            </w:r>
          </w:p>
          <w:p w:rsidR="00B04D6F" w:rsidRPr="00BA68D8" w:rsidRDefault="00B04D6F" w:rsidP="00C82A3D">
            <w:pPr>
              <w:spacing w:line="240" w:lineRule="auto"/>
              <w:rPr>
                <w:color w:val="002060"/>
                <w:sz w:val="20"/>
                <w:szCs w:val="20"/>
              </w:rPr>
            </w:pPr>
          </w:p>
        </w:tc>
      </w:tr>
    </w:tbl>
    <w:p w:rsidR="00D511FE" w:rsidRPr="00BA68D8" w:rsidRDefault="00D511FE" w:rsidP="00C82A3D">
      <w:pPr>
        <w:spacing w:after="0" w:line="240" w:lineRule="auto"/>
        <w:rPr>
          <w:rFonts w:ascii="Garamond" w:hAnsi="Garamond"/>
          <w:color w:val="002060"/>
          <w:sz w:val="20"/>
          <w:szCs w:val="20"/>
        </w:rPr>
      </w:pPr>
    </w:p>
    <w:p w:rsidR="00D511FE" w:rsidRPr="00BA68D8" w:rsidRDefault="00D511FE" w:rsidP="00C82A3D">
      <w:pPr>
        <w:spacing w:after="0" w:line="240" w:lineRule="auto"/>
        <w:rPr>
          <w:rFonts w:ascii="Garamond" w:hAnsi="Garamond"/>
          <w:color w:val="002060"/>
          <w:sz w:val="24"/>
          <w:szCs w:val="24"/>
        </w:rPr>
      </w:pPr>
      <w:r w:rsidRPr="00BA68D8">
        <w:rPr>
          <w:rFonts w:ascii="Garamond" w:hAnsi="Garamond"/>
          <w:color w:val="002060"/>
          <w:sz w:val="24"/>
          <w:szCs w:val="24"/>
        </w:rPr>
        <w:t xml:space="preserve">Student zrealizował zakładane efekty uczenia się                    </w:t>
      </w:r>
    </w:p>
    <w:p w:rsidR="00D511FE" w:rsidRPr="00BA68D8" w:rsidRDefault="00D511FE" w:rsidP="00C82A3D">
      <w:pPr>
        <w:spacing w:after="0" w:line="240" w:lineRule="auto"/>
        <w:rPr>
          <w:rFonts w:ascii="Garamond" w:hAnsi="Garamond"/>
          <w:color w:val="002060"/>
          <w:sz w:val="16"/>
          <w:szCs w:val="16"/>
        </w:rPr>
      </w:pPr>
      <w:r w:rsidRPr="00BA68D8">
        <w:rPr>
          <w:rFonts w:ascii="Garamond" w:hAnsi="Garamond"/>
          <w:color w:val="002060"/>
          <w:sz w:val="16"/>
          <w:szCs w:val="16"/>
        </w:rPr>
        <w:t xml:space="preserve">                                                                                                                         ……………………      </w:t>
      </w:r>
    </w:p>
    <w:p w:rsidR="0068743D" w:rsidRPr="00BA68D8" w:rsidRDefault="0091609E" w:rsidP="00C82A3D">
      <w:pPr>
        <w:spacing w:after="0" w:line="240" w:lineRule="auto"/>
        <w:rPr>
          <w:b/>
          <w:color w:val="002060"/>
        </w:rPr>
      </w:pPr>
      <w:r w:rsidRPr="00BA68D8">
        <w:rPr>
          <w:rFonts w:ascii="Garamond" w:hAnsi="Garamond"/>
          <w:color w:val="002060"/>
          <w:sz w:val="16"/>
          <w:szCs w:val="16"/>
        </w:rPr>
        <w:t>(Data i podpis opiekuna praktyk)</w:t>
      </w:r>
    </w:p>
    <w:sectPr w:rsidR="0068743D" w:rsidRPr="00BA68D8" w:rsidSect="00BA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2698"/>
    <w:rsid w:val="000B25E8"/>
    <w:rsid w:val="001760F6"/>
    <w:rsid w:val="0045696B"/>
    <w:rsid w:val="00516DDB"/>
    <w:rsid w:val="0068743D"/>
    <w:rsid w:val="00716E36"/>
    <w:rsid w:val="007C2698"/>
    <w:rsid w:val="0091609E"/>
    <w:rsid w:val="00A4565F"/>
    <w:rsid w:val="00B043C9"/>
    <w:rsid w:val="00B04D6F"/>
    <w:rsid w:val="00BA68D8"/>
    <w:rsid w:val="00BA7FC6"/>
    <w:rsid w:val="00BB3E74"/>
    <w:rsid w:val="00BC6DC4"/>
    <w:rsid w:val="00C82A3D"/>
    <w:rsid w:val="00C96C10"/>
    <w:rsid w:val="00D511FE"/>
    <w:rsid w:val="00EA5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4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874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743D"/>
    <w:pPr>
      <w:ind w:left="720"/>
      <w:contextualSpacing/>
    </w:pPr>
  </w:style>
  <w:style w:type="character" w:customStyle="1" w:styleId="wrtext">
    <w:name w:val="wrtext"/>
    <w:basedOn w:val="Domylnaczcionkaakapitu"/>
    <w:rsid w:val="0068743D"/>
  </w:style>
  <w:style w:type="table" w:styleId="Tabela-Siatka">
    <w:name w:val="Table Grid"/>
    <w:basedOn w:val="Standardowy"/>
    <w:uiPriority w:val="39"/>
    <w:rsid w:val="0017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6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1499</Words>
  <Characters>8994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Waldemar Cieślak</cp:lastModifiedBy>
  <cp:revision>18</cp:revision>
  <dcterms:created xsi:type="dcterms:W3CDTF">2019-12-12T18:27:00Z</dcterms:created>
  <dcterms:modified xsi:type="dcterms:W3CDTF">2020-02-07T10:52:00Z</dcterms:modified>
</cp:coreProperties>
</file>